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2BC" w:rsidRDefault="00B62E3A" w:rsidP="00B62E3A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0236F1">
        <w:rPr>
          <w:rFonts w:ascii="Times New Roman" w:eastAsia="標楷體" w:hAnsi="Times New Roman" w:cs="Times New Roman"/>
          <w:b/>
          <w:sz w:val="32"/>
          <w:szCs w:val="32"/>
        </w:rPr>
        <w:t>國立臺灣大學</w:t>
      </w:r>
      <w:r w:rsidR="00B07EBB">
        <w:rPr>
          <w:rFonts w:ascii="Times New Roman" w:eastAsia="標楷體" w:hAnsi="Times New Roman" w:cs="Times New Roman" w:hint="eastAsia"/>
          <w:b/>
          <w:sz w:val="32"/>
          <w:szCs w:val="32"/>
        </w:rPr>
        <w:t>國際學院</w:t>
      </w:r>
    </w:p>
    <w:p w:rsidR="00B62E3A" w:rsidRPr="00B612EF" w:rsidRDefault="00F5656F" w:rsidP="00B62E3A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生物多樣</w:t>
      </w:r>
      <w:r w:rsidRPr="00B612EF">
        <w:rPr>
          <w:rFonts w:ascii="Times New Roman" w:eastAsia="標楷體" w:hAnsi="Times New Roman" w:cs="Times New Roman" w:hint="eastAsia"/>
          <w:b/>
          <w:sz w:val="32"/>
          <w:szCs w:val="32"/>
        </w:rPr>
        <w:t>性國際碩士學位學程</w:t>
      </w:r>
    </w:p>
    <w:p w:rsidR="00850ED9" w:rsidRPr="00B612EF" w:rsidRDefault="00B33D54" w:rsidP="00B62E3A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61F87">
        <w:rPr>
          <w:rFonts w:ascii="Times New Roman" w:eastAsia="標楷體" w:hAnsi="Times New Roman" w:cs="Times New Roman" w:hint="eastAsia"/>
          <w:b/>
          <w:sz w:val="32"/>
          <w:szCs w:val="32"/>
        </w:rPr>
        <w:t>研究生獎勵金施行細則</w:t>
      </w:r>
    </w:p>
    <w:p w:rsidR="00761F87" w:rsidRDefault="00761F87" w:rsidP="00761F87">
      <w:pPr>
        <w:spacing w:line="28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761F87" w:rsidRDefault="007C0B3D" w:rsidP="00761F87">
      <w:pPr>
        <w:spacing w:line="2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11</w:t>
      </w:r>
      <w:r>
        <w:rPr>
          <w:rFonts w:ascii="Times New Roman" w:eastAsia="標楷體" w:hAnsi="Times New Roman" w:hint="eastAsia"/>
          <w:sz w:val="20"/>
          <w:szCs w:val="20"/>
        </w:rPr>
        <w:t>1</w:t>
      </w:r>
      <w:r w:rsidR="00761F87" w:rsidRPr="00AC758A">
        <w:rPr>
          <w:rFonts w:ascii="Times New Roman" w:eastAsia="標楷體" w:hAnsi="Times New Roman"/>
          <w:sz w:val="20"/>
          <w:szCs w:val="20"/>
        </w:rPr>
        <w:t>年</w:t>
      </w:r>
      <w:r w:rsidR="00761F87">
        <w:rPr>
          <w:rFonts w:ascii="Times New Roman" w:eastAsia="標楷體" w:hAnsi="Times New Roman"/>
          <w:sz w:val="20"/>
          <w:szCs w:val="20"/>
        </w:rPr>
        <w:t>0</w:t>
      </w:r>
      <w:r>
        <w:rPr>
          <w:rFonts w:ascii="Times New Roman" w:eastAsia="標楷體" w:hAnsi="Times New Roman" w:hint="eastAsia"/>
          <w:sz w:val="20"/>
          <w:szCs w:val="20"/>
        </w:rPr>
        <w:t>4</w:t>
      </w:r>
      <w:r w:rsidR="00761F87" w:rsidRPr="00AC758A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19</w:t>
      </w:r>
      <w:r w:rsidR="00761F87" w:rsidRPr="00AC758A">
        <w:rPr>
          <w:rFonts w:ascii="Times New Roman" w:eastAsia="標楷體" w:hAnsi="Times New Roman"/>
          <w:sz w:val="20"/>
          <w:szCs w:val="20"/>
        </w:rPr>
        <w:t>日</w:t>
      </w:r>
      <w:r w:rsidR="00761F87" w:rsidRPr="000462A3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761F87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="00761F87" w:rsidRPr="000462A3">
        <w:rPr>
          <w:rFonts w:ascii="Times New Roman" w:eastAsia="標楷體" w:hAnsi="Times New Roman" w:cs="Times New Roman" w:hint="eastAsia"/>
          <w:sz w:val="20"/>
          <w:szCs w:val="20"/>
        </w:rPr>
        <w:t>學年度</w:t>
      </w:r>
      <w:r w:rsidR="00761F87">
        <w:rPr>
          <w:rFonts w:ascii="Times New Roman" w:eastAsia="標楷體" w:hAnsi="Times New Roman" w:cs="Times New Roman" w:hint="eastAsia"/>
          <w:sz w:val="20"/>
          <w:szCs w:val="20"/>
        </w:rPr>
        <w:t>第</w:t>
      </w:r>
      <w:r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="00761F87">
        <w:rPr>
          <w:rFonts w:ascii="Times New Roman" w:eastAsia="標楷體" w:hAnsi="Times New Roman" w:cs="Times New Roman" w:hint="eastAsia"/>
          <w:sz w:val="20"/>
          <w:szCs w:val="20"/>
        </w:rPr>
        <w:t>次學程會議</w:t>
      </w:r>
      <w:r>
        <w:rPr>
          <w:rFonts w:ascii="Times New Roman" w:eastAsia="標楷體" w:hAnsi="Times New Roman" w:cs="Times New Roman" w:hint="eastAsia"/>
          <w:sz w:val="20"/>
          <w:szCs w:val="20"/>
        </w:rPr>
        <w:t>修正</w:t>
      </w:r>
      <w:r w:rsidR="00761F87" w:rsidRPr="00BD3132">
        <w:rPr>
          <w:rFonts w:ascii="Times New Roman" w:eastAsia="標楷體" w:hAnsi="Times New Roman" w:cs="Times New Roman" w:hint="eastAsia"/>
          <w:sz w:val="20"/>
          <w:szCs w:val="20"/>
        </w:rPr>
        <w:t>通過</w:t>
      </w:r>
    </w:p>
    <w:p w:rsidR="00FA1065" w:rsidRDefault="00FA1065" w:rsidP="00FA1065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761F87" w:rsidRPr="00761F87" w:rsidRDefault="00761F87" w:rsidP="00FA1065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761F87" w:rsidRPr="00CE11A3" w:rsidRDefault="00761F87" w:rsidP="005B4C19">
      <w:pPr>
        <w:pStyle w:val="a3"/>
        <w:numPr>
          <w:ilvl w:val="0"/>
          <w:numId w:val="1"/>
        </w:numPr>
        <w:tabs>
          <w:tab w:val="left" w:pos="709"/>
        </w:tabs>
        <w:ind w:leftChars="0" w:left="1134" w:hanging="1134"/>
        <w:jc w:val="both"/>
        <w:rPr>
          <w:rFonts w:ascii="Times New Roman" w:eastAsia="標楷體" w:hAnsi="Times New Roman"/>
          <w:szCs w:val="24"/>
        </w:rPr>
      </w:pPr>
      <w:r w:rsidRPr="00CE11A3">
        <w:rPr>
          <w:rFonts w:ascii="Times New Roman" w:eastAsia="標楷體" w:hAnsi="Times New Roman" w:hint="eastAsia"/>
          <w:szCs w:val="24"/>
        </w:rPr>
        <w:t>國立臺灣大學生物多樣性國際碩士學位學程</w:t>
      </w:r>
      <w:r w:rsidRPr="00CE11A3">
        <w:rPr>
          <w:rFonts w:ascii="Times New Roman" w:eastAsia="標楷體" w:hAnsi="Times New Roman"/>
          <w:szCs w:val="24"/>
        </w:rPr>
        <w:t xml:space="preserve"> (</w:t>
      </w:r>
      <w:r w:rsidRPr="00CE11A3">
        <w:rPr>
          <w:rFonts w:ascii="Times New Roman" w:eastAsia="標楷體" w:hAnsi="Times New Roman" w:hint="eastAsia"/>
          <w:szCs w:val="24"/>
        </w:rPr>
        <w:t>以下簡稱本學程</w:t>
      </w:r>
      <w:r w:rsidRPr="00CE11A3">
        <w:rPr>
          <w:rFonts w:ascii="Times New Roman" w:eastAsia="標楷體" w:hAnsi="Times New Roman"/>
          <w:szCs w:val="24"/>
        </w:rPr>
        <w:t>)</w:t>
      </w:r>
      <w:r w:rsidRPr="00CE11A3">
        <w:rPr>
          <w:rFonts w:ascii="Times New Roman" w:eastAsia="標楷體" w:hAnsi="Times New Roman" w:hint="eastAsia"/>
          <w:szCs w:val="24"/>
        </w:rPr>
        <w:t>，依據「國立臺灣大學研究生奬勵金實施辦法」，訂定本施行細則。</w:t>
      </w:r>
    </w:p>
    <w:p w:rsidR="00761F87" w:rsidRPr="00CE11A3" w:rsidRDefault="00761F87" w:rsidP="00761F87">
      <w:pPr>
        <w:pStyle w:val="a3"/>
        <w:numPr>
          <w:ilvl w:val="0"/>
          <w:numId w:val="1"/>
        </w:numPr>
        <w:tabs>
          <w:tab w:val="left" w:pos="709"/>
        </w:tabs>
        <w:ind w:leftChars="0" w:left="1134" w:hanging="1134"/>
        <w:jc w:val="both"/>
        <w:rPr>
          <w:rFonts w:ascii="Times New Roman" w:eastAsia="標楷體" w:hAnsi="Times New Roman"/>
          <w:szCs w:val="24"/>
        </w:rPr>
      </w:pPr>
      <w:r w:rsidRPr="00CE11A3">
        <w:rPr>
          <w:rFonts w:ascii="Times New Roman" w:eastAsia="標楷體" w:hAnsi="Times New Roman" w:hint="eastAsia"/>
          <w:szCs w:val="24"/>
        </w:rPr>
        <w:t>本學程研究生獎勵金之審查、核定、考核及申訴等事宜，</w:t>
      </w:r>
      <w:proofErr w:type="gramStart"/>
      <w:r w:rsidRPr="00CE11A3">
        <w:rPr>
          <w:rFonts w:ascii="Times New Roman" w:eastAsia="標楷體" w:hAnsi="Times New Roman" w:hint="eastAsia"/>
          <w:szCs w:val="24"/>
        </w:rPr>
        <w:t>由獎助學金</w:t>
      </w:r>
      <w:proofErr w:type="gramEnd"/>
      <w:r w:rsidRPr="00CE11A3">
        <w:rPr>
          <w:rFonts w:ascii="Times New Roman" w:eastAsia="標楷體" w:hAnsi="Times New Roman" w:hint="eastAsia"/>
          <w:szCs w:val="24"/>
        </w:rPr>
        <w:t>委員會辦理。</w:t>
      </w:r>
    </w:p>
    <w:p w:rsidR="002E194F" w:rsidRPr="00A91169" w:rsidRDefault="00A91169" w:rsidP="002E194F">
      <w:pPr>
        <w:pStyle w:val="a3"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2E194F" w:rsidRPr="00A91169">
        <w:rPr>
          <w:rFonts w:ascii="Times New Roman" w:eastAsia="標楷體" w:hAnsi="Times New Roman" w:hint="eastAsia"/>
          <w:szCs w:val="24"/>
        </w:rPr>
        <w:t>研究生獎勵金分為獎助金及</w:t>
      </w:r>
      <w:proofErr w:type="gramStart"/>
      <w:r w:rsidR="002E194F" w:rsidRPr="00A91169">
        <w:rPr>
          <w:rFonts w:ascii="Times New Roman" w:eastAsia="標楷體" w:hAnsi="Times New Roman" w:hint="eastAsia"/>
          <w:szCs w:val="24"/>
        </w:rPr>
        <w:t>勞</w:t>
      </w:r>
      <w:proofErr w:type="gramEnd"/>
      <w:r w:rsidR="002E194F" w:rsidRPr="00A91169">
        <w:rPr>
          <w:rFonts w:ascii="Times New Roman" w:eastAsia="標楷體" w:hAnsi="Times New Roman" w:hint="eastAsia"/>
          <w:szCs w:val="24"/>
        </w:rPr>
        <w:t>僱型兼任助理津貼兩類，研究生得兼領之。</w:t>
      </w:r>
    </w:p>
    <w:p w:rsidR="002E194F" w:rsidRDefault="002E194F" w:rsidP="002E194F">
      <w:pPr>
        <w:pStyle w:val="a3"/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</w:t>
      </w:r>
      <w:r w:rsidRPr="002E194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E194F"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Pr="002E194F">
        <w:rPr>
          <w:rFonts w:ascii="Times New Roman" w:eastAsia="標楷體" w:hAnsi="Times New Roman" w:hint="eastAsia"/>
          <w:szCs w:val="24"/>
        </w:rPr>
        <w:t>獎助金：</w:t>
      </w:r>
      <w:proofErr w:type="gramStart"/>
      <w:r w:rsidRPr="002E194F">
        <w:rPr>
          <w:rFonts w:ascii="Times New Roman" w:eastAsia="標楷體" w:hAnsi="Times New Roman" w:hint="eastAsia"/>
          <w:szCs w:val="24"/>
        </w:rPr>
        <w:t>獎優</w:t>
      </w:r>
      <w:proofErr w:type="gramEnd"/>
      <w:r w:rsidRPr="002E194F">
        <w:rPr>
          <w:rFonts w:ascii="Times New Roman" w:eastAsia="標楷體" w:hAnsi="Times New Roman" w:hint="eastAsia"/>
          <w:szCs w:val="24"/>
        </w:rPr>
        <w:t>、扶助經濟弱勢及補助個人研究之用，不具負擔，非為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2E194F" w:rsidRPr="002E194F" w:rsidRDefault="002E194F" w:rsidP="002E194F">
      <w:pPr>
        <w:pStyle w:val="a3"/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</w:t>
      </w:r>
      <w:r w:rsidRPr="002E194F">
        <w:rPr>
          <w:rFonts w:ascii="Times New Roman" w:eastAsia="標楷體" w:hAnsi="Times New Roman" w:hint="eastAsia"/>
          <w:szCs w:val="24"/>
        </w:rPr>
        <w:t>勞務報酬。</w:t>
      </w:r>
    </w:p>
    <w:p w:rsidR="002E194F" w:rsidRDefault="002E194F" w:rsidP="002E194F">
      <w:pPr>
        <w:pStyle w:val="a3"/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</w:t>
      </w:r>
      <w:r w:rsidRPr="002E194F">
        <w:rPr>
          <w:rFonts w:ascii="Times New Roman" w:eastAsia="標楷體" w:hAnsi="Times New Roman" w:hint="eastAsia"/>
          <w:szCs w:val="24"/>
        </w:rPr>
        <w:t>(</w:t>
      </w:r>
      <w:r w:rsidRPr="002E194F"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proofErr w:type="gramStart"/>
      <w:r w:rsidRPr="002E194F">
        <w:rPr>
          <w:rFonts w:ascii="Times New Roman" w:eastAsia="標楷體" w:hAnsi="Times New Roman" w:hint="eastAsia"/>
          <w:szCs w:val="24"/>
        </w:rPr>
        <w:t>勞</w:t>
      </w:r>
      <w:proofErr w:type="gramEnd"/>
      <w:r w:rsidRPr="002E194F">
        <w:rPr>
          <w:rFonts w:ascii="Times New Roman" w:eastAsia="標楷體" w:hAnsi="Times New Roman" w:hint="eastAsia"/>
          <w:szCs w:val="24"/>
        </w:rPr>
        <w:t>僱型兼任助理津貼：需參與本學程教學或服務，擔任教學助理、行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2E194F" w:rsidRPr="002E194F" w:rsidRDefault="002E194F" w:rsidP="002E194F">
      <w:pPr>
        <w:pStyle w:val="a3"/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</w:t>
      </w:r>
      <w:r w:rsidRPr="002E194F">
        <w:rPr>
          <w:rFonts w:ascii="Times New Roman" w:eastAsia="標楷體" w:hAnsi="Times New Roman" w:hint="eastAsia"/>
          <w:szCs w:val="24"/>
        </w:rPr>
        <w:t>政助理或兼任之。</w:t>
      </w:r>
    </w:p>
    <w:p w:rsidR="00761F87" w:rsidRPr="00CE11A3" w:rsidRDefault="00761F87" w:rsidP="00761F87">
      <w:pPr>
        <w:pStyle w:val="a3"/>
        <w:numPr>
          <w:ilvl w:val="0"/>
          <w:numId w:val="1"/>
        </w:numPr>
        <w:tabs>
          <w:tab w:val="left" w:pos="709"/>
        </w:tabs>
        <w:ind w:leftChars="0" w:left="1134" w:hanging="1134"/>
        <w:jc w:val="both"/>
        <w:rPr>
          <w:rFonts w:ascii="Times New Roman" w:eastAsia="標楷體" w:hAnsi="Times New Roman"/>
          <w:szCs w:val="24"/>
        </w:rPr>
      </w:pPr>
      <w:r w:rsidRPr="00CE11A3">
        <w:rPr>
          <w:rFonts w:ascii="Times New Roman" w:eastAsia="標楷體" w:hAnsi="Times New Roman" w:hint="eastAsia"/>
          <w:szCs w:val="24"/>
        </w:rPr>
        <w:t>本學程之在學學生（陸生除外）皆得申請本獎勵金，並得兼領其他獎助學金，惟須符合以下條件：</w:t>
      </w:r>
    </w:p>
    <w:p w:rsidR="00761F87" w:rsidRDefault="00761F87" w:rsidP="00761F87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 w:rsidRPr="00CE11A3">
        <w:rPr>
          <w:rFonts w:ascii="Times New Roman" w:eastAsia="標楷體" w:hAnsi="Times New Roman" w:hint="eastAsia"/>
          <w:szCs w:val="24"/>
        </w:rPr>
        <w:t>申請者該學期須在臺灣，有在臺灣生活之實。</w:t>
      </w:r>
    </w:p>
    <w:p w:rsidR="00702728" w:rsidRPr="00CE11A3" w:rsidRDefault="00702728" w:rsidP="00702728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 w:rsidRPr="00702728">
        <w:rPr>
          <w:rFonts w:ascii="Times New Roman" w:eastAsia="標楷體" w:hAnsi="Times New Roman" w:hint="eastAsia"/>
          <w:szCs w:val="24"/>
        </w:rPr>
        <w:t>申請「</w:t>
      </w:r>
      <w:proofErr w:type="gramStart"/>
      <w:r w:rsidRPr="00702728">
        <w:rPr>
          <w:rFonts w:ascii="Times New Roman" w:eastAsia="標楷體" w:hAnsi="Times New Roman" w:hint="eastAsia"/>
          <w:szCs w:val="24"/>
        </w:rPr>
        <w:t>勞</w:t>
      </w:r>
      <w:proofErr w:type="gramEnd"/>
      <w:r w:rsidRPr="00702728">
        <w:rPr>
          <w:rFonts w:ascii="Times New Roman" w:eastAsia="標楷體" w:hAnsi="Times New Roman" w:hint="eastAsia"/>
          <w:szCs w:val="24"/>
        </w:rPr>
        <w:t>僱型兼任助理」者需有工作證。</w:t>
      </w:r>
    </w:p>
    <w:p w:rsidR="00761F87" w:rsidRPr="00CE11A3" w:rsidRDefault="00761F87" w:rsidP="00761F87">
      <w:pPr>
        <w:pStyle w:val="a3"/>
        <w:numPr>
          <w:ilvl w:val="0"/>
          <w:numId w:val="17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 w:rsidRPr="00CE11A3">
        <w:rPr>
          <w:rFonts w:ascii="Times New Roman" w:eastAsia="標楷體" w:hAnsi="Times New Roman" w:hint="eastAsia"/>
          <w:szCs w:val="24"/>
        </w:rPr>
        <w:t>申請本獎勵金者不得有全職工作，兼職者須權衡時間分配。</w:t>
      </w:r>
    </w:p>
    <w:p w:rsidR="00702728" w:rsidRDefault="00702728" w:rsidP="00702728">
      <w:pPr>
        <w:pStyle w:val="a3"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761F87" w:rsidRPr="00CE11A3">
        <w:rPr>
          <w:rFonts w:ascii="Times New Roman" w:eastAsia="標楷體" w:hAnsi="Times New Roman" w:hint="eastAsia"/>
          <w:szCs w:val="24"/>
        </w:rPr>
        <w:t>每</w:t>
      </w:r>
      <w:proofErr w:type="gramStart"/>
      <w:r w:rsidR="00761F87" w:rsidRPr="00CE11A3">
        <w:rPr>
          <w:rFonts w:ascii="Times New Roman" w:eastAsia="標楷體" w:hAnsi="Times New Roman" w:hint="eastAsia"/>
          <w:szCs w:val="24"/>
        </w:rPr>
        <w:t>學期由獎助學金</w:t>
      </w:r>
      <w:proofErr w:type="gramEnd"/>
      <w:r w:rsidR="00761F87" w:rsidRPr="00CE11A3">
        <w:rPr>
          <w:rFonts w:ascii="Times New Roman" w:eastAsia="標楷體" w:hAnsi="Times New Roman" w:hint="eastAsia"/>
          <w:szCs w:val="24"/>
        </w:rPr>
        <w:t>委員會規劃次學期獎助金</w:t>
      </w:r>
      <w:r w:rsidRPr="00702728">
        <w:rPr>
          <w:rFonts w:ascii="Times New Roman" w:eastAsia="標楷體" w:hAnsi="Times New Roman" w:hint="eastAsia"/>
          <w:szCs w:val="24"/>
        </w:rPr>
        <w:t>及勞僱型兼任助理津貼</w:t>
      </w:r>
      <w:r w:rsidR="00761F87" w:rsidRPr="00CE11A3">
        <w:rPr>
          <w:rFonts w:ascii="Times New Roman" w:eastAsia="標楷體" w:hAnsi="Times New Roman" w:hint="eastAsia"/>
          <w:szCs w:val="24"/>
        </w:rPr>
        <w:t>之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761F87" w:rsidRPr="00702728" w:rsidRDefault="00702728" w:rsidP="00702728">
      <w:pPr>
        <w:pStyle w:val="a3"/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</w:t>
      </w:r>
      <w:r w:rsidR="00761F87" w:rsidRPr="00CE11A3">
        <w:rPr>
          <w:rFonts w:ascii="Times New Roman" w:eastAsia="標楷體" w:hAnsi="Times New Roman" w:hint="eastAsia"/>
          <w:szCs w:val="24"/>
        </w:rPr>
        <w:t>發</w:t>
      </w:r>
      <w:r w:rsidR="00761F87" w:rsidRPr="00702728">
        <w:rPr>
          <w:rFonts w:ascii="Times New Roman" w:eastAsia="標楷體" w:hAnsi="Times New Roman" w:hint="eastAsia"/>
          <w:szCs w:val="24"/>
        </w:rPr>
        <w:t>放比例、金額、名額及對象條件等。</w:t>
      </w:r>
    </w:p>
    <w:p w:rsidR="00761F87" w:rsidRPr="00702728" w:rsidRDefault="00702728" w:rsidP="00702728">
      <w:pPr>
        <w:tabs>
          <w:tab w:val="left" w:pos="709"/>
        </w:tabs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</w:t>
      </w:r>
      <w:r w:rsidR="00761F87" w:rsidRPr="00702728">
        <w:rPr>
          <w:rFonts w:ascii="Times New Roman" w:eastAsia="標楷體" w:hAnsi="Times New Roman" w:hint="eastAsia"/>
          <w:szCs w:val="24"/>
        </w:rPr>
        <w:t>每學期獲獎助</w:t>
      </w:r>
      <w:proofErr w:type="gramStart"/>
      <w:r w:rsidR="00761F87" w:rsidRPr="00702728">
        <w:rPr>
          <w:rFonts w:ascii="Times New Roman" w:eastAsia="標楷體" w:hAnsi="Times New Roman" w:hint="eastAsia"/>
          <w:szCs w:val="24"/>
        </w:rPr>
        <w:t>對象由獎助學金</w:t>
      </w:r>
      <w:proofErr w:type="gramEnd"/>
      <w:r w:rsidR="00761F87" w:rsidRPr="00702728">
        <w:rPr>
          <w:rFonts w:ascii="Times New Roman" w:eastAsia="標楷體" w:hAnsi="Times New Roman" w:hint="eastAsia"/>
          <w:szCs w:val="24"/>
        </w:rPr>
        <w:t>委員會審核後公告之。</w:t>
      </w:r>
    </w:p>
    <w:p w:rsidR="0012442C" w:rsidRDefault="0012442C" w:rsidP="0012442C">
      <w:pPr>
        <w:pStyle w:val="a3"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761F87" w:rsidRPr="00CE11A3">
        <w:rPr>
          <w:rFonts w:ascii="Times New Roman" w:eastAsia="標楷體" w:hAnsi="Times New Roman" w:hint="eastAsia"/>
          <w:szCs w:val="24"/>
        </w:rPr>
        <w:t>申請者須依公告於期限內向學程辦公室提出申請。</w:t>
      </w:r>
      <w:r w:rsidRPr="0012442C">
        <w:rPr>
          <w:rFonts w:ascii="Times New Roman" w:eastAsia="標楷體" w:hAnsi="Times New Roman" w:hint="eastAsia"/>
          <w:szCs w:val="24"/>
        </w:rPr>
        <w:t>申請</w:t>
      </w:r>
      <w:proofErr w:type="gramStart"/>
      <w:r w:rsidRPr="0012442C">
        <w:rPr>
          <w:rFonts w:ascii="Times New Roman" w:eastAsia="標楷體" w:hAnsi="Times New Roman" w:hint="eastAsia"/>
          <w:szCs w:val="24"/>
        </w:rPr>
        <w:t>勞</w:t>
      </w:r>
      <w:proofErr w:type="gramEnd"/>
      <w:r w:rsidRPr="0012442C">
        <w:rPr>
          <w:rFonts w:ascii="Times New Roman" w:eastAsia="標楷體" w:hAnsi="Times New Roman" w:hint="eastAsia"/>
          <w:szCs w:val="24"/>
        </w:rPr>
        <w:t>僱型兼任助理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12442C" w:rsidRDefault="0012442C" w:rsidP="0012442C">
      <w:pPr>
        <w:pStyle w:val="a3"/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</w:t>
      </w:r>
      <w:r w:rsidRPr="0012442C">
        <w:rPr>
          <w:rFonts w:ascii="Times New Roman" w:eastAsia="標楷體" w:hAnsi="Times New Roman" w:hint="eastAsia"/>
          <w:szCs w:val="24"/>
        </w:rPr>
        <w:t>者，需與雇主確認工作內容，瞭解自身權利義務後，於期限內繳交相關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12442C" w:rsidRDefault="0012442C" w:rsidP="0012442C">
      <w:pPr>
        <w:pStyle w:val="a3"/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</w:t>
      </w:r>
      <w:r w:rsidRPr="0012442C">
        <w:rPr>
          <w:rFonts w:ascii="Times New Roman" w:eastAsia="標楷體" w:hAnsi="Times New Roman" w:hint="eastAsia"/>
          <w:szCs w:val="24"/>
        </w:rPr>
        <w:t>表格至學程辦公室，並依規定簽訂勞動契約，明定工作場所、工作時間、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12442C" w:rsidRDefault="0012442C" w:rsidP="0012442C">
      <w:pPr>
        <w:pStyle w:val="a3"/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</w:t>
      </w:r>
      <w:r w:rsidRPr="0012442C">
        <w:rPr>
          <w:rFonts w:ascii="Times New Roman" w:eastAsia="標楷體" w:hAnsi="Times New Roman" w:hint="eastAsia"/>
          <w:szCs w:val="24"/>
        </w:rPr>
        <w:t>工作時數、工作</w:t>
      </w:r>
      <w:proofErr w:type="gramStart"/>
      <w:r w:rsidRPr="0012442C">
        <w:rPr>
          <w:rFonts w:ascii="Times New Roman" w:eastAsia="標楷體" w:hAnsi="Times New Roman" w:hint="eastAsia"/>
          <w:szCs w:val="24"/>
        </w:rPr>
        <w:t>期間、</w:t>
      </w:r>
      <w:proofErr w:type="gramEnd"/>
      <w:r w:rsidRPr="0012442C">
        <w:rPr>
          <w:rFonts w:ascii="Times New Roman" w:eastAsia="標楷體" w:hAnsi="Times New Roman" w:hint="eastAsia"/>
          <w:szCs w:val="24"/>
        </w:rPr>
        <w:t>工作內容、工資、工作準則、契約終止及其他相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761F87" w:rsidRPr="0012442C" w:rsidRDefault="0012442C" w:rsidP="0012442C">
      <w:pPr>
        <w:pStyle w:val="a3"/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</w:t>
      </w:r>
      <w:r w:rsidRPr="0012442C">
        <w:rPr>
          <w:rFonts w:ascii="Times New Roman" w:eastAsia="標楷體" w:hAnsi="Times New Roman" w:hint="eastAsia"/>
          <w:szCs w:val="24"/>
        </w:rPr>
        <w:t>關權利義務關係。</w:t>
      </w:r>
    </w:p>
    <w:p w:rsidR="0012442C" w:rsidRDefault="0012442C" w:rsidP="0012442C">
      <w:pPr>
        <w:pStyle w:val="a3"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761F87" w:rsidRPr="00CE11A3">
        <w:rPr>
          <w:rFonts w:ascii="Times New Roman" w:eastAsia="標楷體" w:hAnsi="Times New Roman" w:hint="eastAsia"/>
          <w:szCs w:val="24"/>
        </w:rPr>
        <w:t>研究生</w:t>
      </w:r>
      <w:r w:rsidRPr="0012442C">
        <w:rPr>
          <w:rFonts w:ascii="Times New Roman" w:eastAsia="標楷體" w:hAnsi="Times New Roman" w:hint="eastAsia"/>
          <w:szCs w:val="24"/>
        </w:rPr>
        <w:t>在學期間</w:t>
      </w:r>
      <w:r w:rsidR="00761F87" w:rsidRPr="00CE11A3">
        <w:rPr>
          <w:rFonts w:ascii="Times New Roman" w:eastAsia="標楷體" w:hAnsi="Times New Roman" w:hint="eastAsia"/>
          <w:szCs w:val="24"/>
        </w:rPr>
        <w:t>如有違反</w:t>
      </w:r>
      <w:proofErr w:type="gramStart"/>
      <w:r w:rsidR="00761F87" w:rsidRPr="00CE11A3">
        <w:rPr>
          <w:rFonts w:ascii="Times New Roman" w:eastAsia="標楷體" w:hAnsi="Times New Roman" w:hint="eastAsia"/>
          <w:szCs w:val="24"/>
        </w:rPr>
        <w:t>校規受記小</w:t>
      </w:r>
      <w:proofErr w:type="gramEnd"/>
      <w:r w:rsidR="00761F87" w:rsidRPr="00CE11A3">
        <w:rPr>
          <w:rFonts w:ascii="Times New Roman" w:eastAsia="標楷體" w:hAnsi="Times New Roman" w:hint="eastAsia"/>
          <w:szCs w:val="24"/>
        </w:rPr>
        <w:t>過以上處分者，</w:t>
      </w:r>
      <w:r w:rsidRPr="0012442C">
        <w:rPr>
          <w:rFonts w:ascii="Times New Roman" w:eastAsia="標楷體" w:hAnsi="Times New Roman" w:hint="eastAsia"/>
          <w:szCs w:val="24"/>
        </w:rPr>
        <w:t>處分確定之次月起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12442C" w:rsidRDefault="0012442C" w:rsidP="0012442C">
      <w:pPr>
        <w:tabs>
          <w:tab w:val="left" w:pos="709"/>
        </w:tabs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</w:t>
      </w:r>
      <w:r w:rsidRPr="0012442C">
        <w:rPr>
          <w:rFonts w:ascii="Times New Roman" w:eastAsia="標楷體" w:hAnsi="Times New Roman" w:hint="eastAsia"/>
          <w:szCs w:val="24"/>
        </w:rPr>
        <w:t>未滿一年者，</w:t>
      </w:r>
      <w:r w:rsidR="00761F87" w:rsidRPr="0012442C">
        <w:rPr>
          <w:rFonts w:ascii="Times New Roman" w:eastAsia="標楷體" w:hAnsi="Times New Roman" w:hint="eastAsia"/>
          <w:szCs w:val="24"/>
        </w:rPr>
        <w:t>或學業成績不佳、協助工作不力，</w:t>
      </w:r>
      <w:proofErr w:type="gramStart"/>
      <w:r w:rsidR="00761F87" w:rsidRPr="0012442C">
        <w:rPr>
          <w:rFonts w:ascii="Times New Roman" w:eastAsia="標楷體" w:hAnsi="Times New Roman" w:hint="eastAsia"/>
          <w:szCs w:val="24"/>
        </w:rPr>
        <w:t>經獎助學金</w:t>
      </w:r>
      <w:proofErr w:type="gramEnd"/>
      <w:r w:rsidR="00761F87" w:rsidRPr="0012442C">
        <w:rPr>
          <w:rFonts w:ascii="Times New Roman" w:eastAsia="標楷體" w:hAnsi="Times New Roman" w:hint="eastAsia"/>
          <w:szCs w:val="24"/>
        </w:rPr>
        <w:t>委員會審定</w:t>
      </w:r>
    </w:p>
    <w:p w:rsidR="00761F87" w:rsidRPr="0012442C" w:rsidRDefault="0012442C" w:rsidP="0012442C">
      <w:pPr>
        <w:tabs>
          <w:tab w:val="left" w:pos="709"/>
        </w:tabs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</w:t>
      </w:r>
      <w:r w:rsidR="00761F87" w:rsidRPr="0012442C">
        <w:rPr>
          <w:rFonts w:ascii="Times New Roman" w:eastAsia="標楷體" w:hAnsi="Times New Roman" w:hint="eastAsia"/>
          <w:szCs w:val="24"/>
        </w:rPr>
        <w:t>者，不得申請及</w:t>
      </w:r>
      <w:proofErr w:type="gramStart"/>
      <w:r w:rsidR="00761F87" w:rsidRPr="0012442C">
        <w:rPr>
          <w:rFonts w:ascii="Times New Roman" w:eastAsia="標楷體" w:hAnsi="Times New Roman" w:hint="eastAsia"/>
          <w:szCs w:val="24"/>
        </w:rPr>
        <w:t>受領本獎勵</w:t>
      </w:r>
      <w:proofErr w:type="gramEnd"/>
      <w:r w:rsidR="00761F87" w:rsidRPr="0012442C">
        <w:rPr>
          <w:rFonts w:ascii="Times New Roman" w:eastAsia="標楷體" w:hAnsi="Times New Roman" w:hint="eastAsia"/>
          <w:szCs w:val="24"/>
        </w:rPr>
        <w:t>金。</w:t>
      </w:r>
    </w:p>
    <w:p w:rsidR="00761F87" w:rsidRPr="00CE11A3" w:rsidRDefault="00761F87" w:rsidP="00761F87">
      <w:pPr>
        <w:pStyle w:val="a3"/>
        <w:tabs>
          <w:tab w:val="left" w:pos="709"/>
        </w:tabs>
        <w:ind w:leftChars="0" w:left="1134"/>
        <w:jc w:val="both"/>
        <w:rPr>
          <w:rFonts w:ascii="Times New Roman" w:eastAsia="標楷體" w:hAnsi="Times New Roman"/>
          <w:szCs w:val="24"/>
        </w:rPr>
      </w:pPr>
      <w:r w:rsidRPr="00CE11A3">
        <w:rPr>
          <w:rFonts w:ascii="Times New Roman" w:eastAsia="標楷體" w:hAnsi="Times New Roman" w:hint="eastAsia"/>
          <w:szCs w:val="24"/>
        </w:rPr>
        <w:t>研究生受領獎勵金期間違反前項規定者，應停止受領獎勵金，並應繳回溢領款項。</w:t>
      </w:r>
    </w:p>
    <w:p w:rsidR="00761F87" w:rsidRPr="00CE11A3" w:rsidRDefault="00761F87" w:rsidP="00761F87">
      <w:pPr>
        <w:pStyle w:val="a3"/>
        <w:numPr>
          <w:ilvl w:val="0"/>
          <w:numId w:val="1"/>
        </w:numPr>
        <w:tabs>
          <w:tab w:val="left" w:pos="709"/>
        </w:tabs>
        <w:ind w:leftChars="0" w:left="1134" w:hanging="1134"/>
        <w:jc w:val="both"/>
        <w:rPr>
          <w:rFonts w:ascii="Times New Roman" w:eastAsia="標楷體" w:hAnsi="Times New Roman"/>
          <w:szCs w:val="24"/>
        </w:rPr>
      </w:pPr>
      <w:r w:rsidRPr="00CE11A3">
        <w:rPr>
          <w:rFonts w:ascii="Times New Roman" w:eastAsia="標楷體" w:hAnsi="Times New Roman" w:hint="eastAsia"/>
          <w:szCs w:val="24"/>
        </w:rPr>
        <w:t>研究生若對獎勵金有異議得向本學程提出申訴，收到申訴書後將召開獎助學金委員會會議，經討論後做成決議，以書面通知申訴者。若有需要得請申訴人與關係人列席說明。</w:t>
      </w:r>
    </w:p>
    <w:p w:rsidR="00761F87" w:rsidRPr="00CE11A3" w:rsidRDefault="00761F87" w:rsidP="00761F87">
      <w:pPr>
        <w:pStyle w:val="a3"/>
        <w:numPr>
          <w:ilvl w:val="0"/>
          <w:numId w:val="1"/>
        </w:numPr>
        <w:tabs>
          <w:tab w:val="left" w:pos="709"/>
        </w:tabs>
        <w:ind w:leftChars="0" w:left="1134" w:hanging="1134"/>
        <w:jc w:val="both"/>
        <w:rPr>
          <w:rFonts w:ascii="Times New Roman" w:eastAsia="標楷體" w:hAnsi="Times New Roman"/>
          <w:szCs w:val="24"/>
        </w:rPr>
      </w:pPr>
      <w:r w:rsidRPr="00CE11A3">
        <w:rPr>
          <w:rFonts w:ascii="Times New Roman" w:eastAsia="標楷體" w:hAnsi="Times New Roman" w:hint="eastAsia"/>
          <w:szCs w:val="24"/>
        </w:rPr>
        <w:t>本細則未盡事宜，悉依本校及教育部相關法規與勞基法辦理。</w:t>
      </w:r>
    </w:p>
    <w:p w:rsidR="00761F87" w:rsidRPr="00CE11A3" w:rsidRDefault="00761F87" w:rsidP="00761F87">
      <w:pPr>
        <w:pStyle w:val="a3"/>
        <w:numPr>
          <w:ilvl w:val="0"/>
          <w:numId w:val="1"/>
        </w:numPr>
        <w:tabs>
          <w:tab w:val="left" w:pos="709"/>
        </w:tabs>
        <w:ind w:leftChars="0" w:left="1134" w:hanging="1134"/>
        <w:jc w:val="both"/>
        <w:rPr>
          <w:rFonts w:ascii="Times New Roman" w:eastAsia="標楷體" w:hAnsi="Times New Roman"/>
          <w:szCs w:val="24"/>
        </w:rPr>
      </w:pPr>
      <w:r w:rsidRPr="00CE11A3">
        <w:rPr>
          <w:rFonts w:ascii="Times New Roman" w:eastAsia="標楷體" w:hAnsi="Times New Roman" w:hint="eastAsia"/>
          <w:szCs w:val="24"/>
        </w:rPr>
        <w:t>本細則經學程會議通過後，自發布日實施。</w:t>
      </w:r>
    </w:p>
    <w:p w:rsidR="00761F87" w:rsidRDefault="00761F87" w:rsidP="004072DD">
      <w:pPr>
        <w:spacing w:line="280" w:lineRule="exact"/>
        <w:jc w:val="right"/>
        <w:rPr>
          <w:rFonts w:ascii="Times New Roman" w:eastAsia="標楷體" w:hAnsi="Times New Roman" w:cs="Times New Roman"/>
          <w:color w:val="A6A6A6" w:themeColor="background1" w:themeShade="A6"/>
          <w:szCs w:val="20"/>
        </w:rPr>
      </w:pPr>
    </w:p>
    <w:sectPr w:rsidR="00761F87" w:rsidSect="00B22A4D"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6A9" w:rsidRDefault="001546A9" w:rsidP="00395268">
      <w:r>
        <w:separator/>
      </w:r>
    </w:p>
  </w:endnote>
  <w:endnote w:type="continuationSeparator" w:id="0">
    <w:p w:rsidR="001546A9" w:rsidRDefault="001546A9" w:rsidP="0039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10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F42AE" w:rsidRDefault="007F42AE" w:rsidP="00FD2EB0">
            <w:pPr>
              <w:pStyle w:val="a6"/>
              <w:jc w:val="center"/>
            </w:pPr>
            <w:r w:rsidRPr="007F42AE">
              <w:rPr>
                <w:rFonts w:ascii="Times New Roman" w:eastAsia="標楷體" w:hAnsi="Times New Roman" w:cs="Times New Roman"/>
              </w:rPr>
              <w:t>第</w:t>
            </w:r>
            <w:r w:rsidRPr="007F42AE">
              <w:rPr>
                <w:rFonts w:ascii="Times New Roman" w:eastAsia="標楷體" w:hAnsi="Times New Roman" w:cs="Times New Roman"/>
              </w:rPr>
              <w:t xml:space="preserve"> </w:t>
            </w:r>
            <w:r w:rsidRPr="007F42AE">
              <w:rPr>
                <w:rFonts w:ascii="Times New Roman" w:eastAsia="標楷體" w:hAnsi="Times New Roman" w:cs="Times New Roman"/>
              </w:rPr>
              <w:fldChar w:fldCharType="begin"/>
            </w:r>
            <w:r w:rsidRPr="007F42AE">
              <w:rPr>
                <w:rFonts w:ascii="Times New Roman" w:eastAsia="標楷體" w:hAnsi="Times New Roman" w:cs="Times New Roman"/>
              </w:rPr>
              <w:instrText>PAGE</w:instrText>
            </w:r>
            <w:r w:rsidRPr="007F42AE">
              <w:rPr>
                <w:rFonts w:ascii="Times New Roman" w:eastAsia="標楷體" w:hAnsi="Times New Roman" w:cs="Times New Roman"/>
              </w:rPr>
              <w:fldChar w:fldCharType="separate"/>
            </w:r>
            <w:r w:rsidR="00AE1F43">
              <w:rPr>
                <w:rFonts w:ascii="Times New Roman" w:eastAsia="標楷體" w:hAnsi="Times New Roman" w:cs="Times New Roman"/>
                <w:noProof/>
              </w:rPr>
              <w:t>1</w:t>
            </w:r>
            <w:r w:rsidRPr="007F42AE">
              <w:rPr>
                <w:rFonts w:ascii="Times New Roman" w:eastAsia="標楷體" w:hAnsi="Times New Roman" w:cs="Times New Roman"/>
              </w:rPr>
              <w:fldChar w:fldCharType="end"/>
            </w:r>
            <w:r w:rsidRPr="007F42AE">
              <w:rPr>
                <w:rFonts w:ascii="Times New Roman" w:eastAsia="標楷體" w:hAnsi="Times New Roman" w:cs="Times New Roman"/>
              </w:rPr>
              <w:t>頁，共</w:t>
            </w:r>
            <w:r w:rsidRPr="007F42AE">
              <w:rPr>
                <w:rFonts w:ascii="Times New Roman" w:eastAsia="標楷體" w:hAnsi="Times New Roman" w:cs="Times New Roman"/>
              </w:rPr>
              <w:t xml:space="preserve"> </w:t>
            </w:r>
            <w:r w:rsidRPr="007F42AE">
              <w:rPr>
                <w:rFonts w:ascii="Times New Roman" w:eastAsia="標楷體" w:hAnsi="Times New Roman" w:cs="Times New Roman"/>
              </w:rPr>
              <w:fldChar w:fldCharType="begin"/>
            </w:r>
            <w:r w:rsidRPr="007F42AE">
              <w:rPr>
                <w:rFonts w:ascii="Times New Roman" w:eastAsia="標楷體" w:hAnsi="Times New Roman" w:cs="Times New Roman"/>
              </w:rPr>
              <w:instrText>NUMPAGES</w:instrText>
            </w:r>
            <w:r w:rsidRPr="007F42AE">
              <w:rPr>
                <w:rFonts w:ascii="Times New Roman" w:eastAsia="標楷體" w:hAnsi="Times New Roman" w:cs="Times New Roman"/>
              </w:rPr>
              <w:fldChar w:fldCharType="separate"/>
            </w:r>
            <w:r w:rsidR="00AE1F43">
              <w:rPr>
                <w:rFonts w:ascii="Times New Roman" w:eastAsia="標楷體" w:hAnsi="Times New Roman" w:cs="Times New Roman"/>
                <w:noProof/>
              </w:rPr>
              <w:t>1</w:t>
            </w:r>
            <w:r w:rsidRPr="007F42AE">
              <w:rPr>
                <w:rFonts w:ascii="Times New Roman" w:eastAsia="標楷體" w:hAnsi="Times New Roman" w:cs="Times New Roman"/>
              </w:rPr>
              <w:fldChar w:fldCharType="end"/>
            </w:r>
            <w:r w:rsidRPr="007F42AE">
              <w:rPr>
                <w:rFonts w:ascii="Times New Roman" w:eastAsia="標楷體" w:hAnsi="Times New Roman" w:cs="Times New Roman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6A9" w:rsidRDefault="001546A9" w:rsidP="00395268">
      <w:r>
        <w:separator/>
      </w:r>
    </w:p>
  </w:footnote>
  <w:footnote w:type="continuationSeparator" w:id="0">
    <w:p w:rsidR="001546A9" w:rsidRDefault="001546A9" w:rsidP="00395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1429"/>
    <w:multiLevelType w:val="hybridMultilevel"/>
    <w:tmpl w:val="1884E632"/>
    <w:lvl w:ilvl="0" w:tplc="305455E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" w15:restartNumberingAfterBreak="0">
    <w:nsid w:val="16770F18"/>
    <w:multiLevelType w:val="hybridMultilevel"/>
    <w:tmpl w:val="8F5C4D6C"/>
    <w:lvl w:ilvl="0" w:tplc="3A68F574">
      <w:start w:val="1"/>
      <w:numFmt w:val="taiwaneseCountingThousand"/>
      <w:lvlText w:val="(%1)"/>
      <w:lvlJc w:val="left"/>
      <w:pPr>
        <w:ind w:left="1614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9447386"/>
    <w:multiLevelType w:val="hybridMultilevel"/>
    <w:tmpl w:val="33DCDB1E"/>
    <w:lvl w:ilvl="0" w:tplc="3A68F574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A9668E"/>
    <w:multiLevelType w:val="hybridMultilevel"/>
    <w:tmpl w:val="F08275D4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2B021A48"/>
    <w:multiLevelType w:val="hybridMultilevel"/>
    <w:tmpl w:val="CFD8380C"/>
    <w:lvl w:ilvl="0" w:tplc="305455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984064"/>
    <w:multiLevelType w:val="hybridMultilevel"/>
    <w:tmpl w:val="2006F150"/>
    <w:lvl w:ilvl="0" w:tplc="305455E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30C95E7A"/>
    <w:multiLevelType w:val="hybridMultilevel"/>
    <w:tmpl w:val="646035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0E5D6A"/>
    <w:multiLevelType w:val="hybridMultilevel"/>
    <w:tmpl w:val="023870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3E423A"/>
    <w:multiLevelType w:val="hybridMultilevel"/>
    <w:tmpl w:val="2006F150"/>
    <w:lvl w:ilvl="0" w:tplc="305455E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3D2E4E41"/>
    <w:multiLevelType w:val="hybridMultilevel"/>
    <w:tmpl w:val="2006F150"/>
    <w:lvl w:ilvl="0" w:tplc="305455E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4DFA4143"/>
    <w:multiLevelType w:val="hybridMultilevel"/>
    <w:tmpl w:val="B3D4658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E39720F"/>
    <w:multiLevelType w:val="hybridMultilevel"/>
    <w:tmpl w:val="2006F150"/>
    <w:lvl w:ilvl="0" w:tplc="305455E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5FFF789B"/>
    <w:multiLevelType w:val="hybridMultilevel"/>
    <w:tmpl w:val="E9D6453A"/>
    <w:lvl w:ilvl="0" w:tplc="6C0EF436">
      <w:start w:val="1"/>
      <w:numFmt w:val="ideographDigital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7A0A6C"/>
    <w:multiLevelType w:val="hybridMultilevel"/>
    <w:tmpl w:val="067AF7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1F1F03"/>
    <w:multiLevelType w:val="hybridMultilevel"/>
    <w:tmpl w:val="E7D0B556"/>
    <w:lvl w:ilvl="0" w:tplc="3A68F574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2F628C"/>
    <w:multiLevelType w:val="hybridMultilevel"/>
    <w:tmpl w:val="CFD8380C"/>
    <w:lvl w:ilvl="0" w:tplc="305455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011C65"/>
    <w:multiLevelType w:val="hybridMultilevel"/>
    <w:tmpl w:val="04D81B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8D244E"/>
    <w:multiLevelType w:val="hybridMultilevel"/>
    <w:tmpl w:val="C0C019F6"/>
    <w:lvl w:ilvl="0" w:tplc="3A68F574">
      <w:start w:val="1"/>
      <w:numFmt w:val="taiwaneseCountingThousand"/>
      <w:lvlText w:val="(%1)"/>
      <w:lvlJc w:val="left"/>
      <w:pPr>
        <w:ind w:left="1614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7"/>
  </w:num>
  <w:num w:numId="5">
    <w:abstractNumId w:val="16"/>
  </w:num>
  <w:num w:numId="6">
    <w:abstractNumId w:val="10"/>
  </w:num>
  <w:num w:numId="7">
    <w:abstractNumId w:val="6"/>
  </w:num>
  <w:num w:numId="8">
    <w:abstractNumId w:val="5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15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75"/>
    <w:rsid w:val="00011743"/>
    <w:rsid w:val="000236F1"/>
    <w:rsid w:val="000275BF"/>
    <w:rsid w:val="00031AFB"/>
    <w:rsid w:val="000F12BC"/>
    <w:rsid w:val="001228CA"/>
    <w:rsid w:val="0012442C"/>
    <w:rsid w:val="001546A9"/>
    <w:rsid w:val="00181D86"/>
    <w:rsid w:val="001E25D2"/>
    <w:rsid w:val="001E39C4"/>
    <w:rsid w:val="00216D86"/>
    <w:rsid w:val="00237698"/>
    <w:rsid w:val="0025738F"/>
    <w:rsid w:val="00261A69"/>
    <w:rsid w:val="002A1F2B"/>
    <w:rsid w:val="002E194F"/>
    <w:rsid w:val="003234CA"/>
    <w:rsid w:val="0036006B"/>
    <w:rsid w:val="00366593"/>
    <w:rsid w:val="003755E3"/>
    <w:rsid w:val="00395268"/>
    <w:rsid w:val="003B77CF"/>
    <w:rsid w:val="003C05E8"/>
    <w:rsid w:val="004072DD"/>
    <w:rsid w:val="00416CD0"/>
    <w:rsid w:val="00442C93"/>
    <w:rsid w:val="004802FB"/>
    <w:rsid w:val="00493E0A"/>
    <w:rsid w:val="004A209D"/>
    <w:rsid w:val="004A6377"/>
    <w:rsid w:val="004B5E11"/>
    <w:rsid w:val="005101C9"/>
    <w:rsid w:val="00511EF0"/>
    <w:rsid w:val="00562B88"/>
    <w:rsid w:val="0059522F"/>
    <w:rsid w:val="005A12EB"/>
    <w:rsid w:val="00663BC4"/>
    <w:rsid w:val="0068438A"/>
    <w:rsid w:val="006C0145"/>
    <w:rsid w:val="006E7A6C"/>
    <w:rsid w:val="00702728"/>
    <w:rsid w:val="00761F87"/>
    <w:rsid w:val="00764A7B"/>
    <w:rsid w:val="00764E37"/>
    <w:rsid w:val="007C0B3D"/>
    <w:rsid w:val="007F42AE"/>
    <w:rsid w:val="00850ED9"/>
    <w:rsid w:val="009078DF"/>
    <w:rsid w:val="0094711B"/>
    <w:rsid w:val="00965E73"/>
    <w:rsid w:val="00975DC4"/>
    <w:rsid w:val="00986A75"/>
    <w:rsid w:val="00A50602"/>
    <w:rsid w:val="00A91169"/>
    <w:rsid w:val="00AC16A6"/>
    <w:rsid w:val="00AE1F43"/>
    <w:rsid w:val="00B031B3"/>
    <w:rsid w:val="00B07EBB"/>
    <w:rsid w:val="00B22A4D"/>
    <w:rsid w:val="00B33D54"/>
    <w:rsid w:val="00B612EF"/>
    <w:rsid w:val="00B62E3A"/>
    <w:rsid w:val="00B9265A"/>
    <w:rsid w:val="00BA5533"/>
    <w:rsid w:val="00BA5D3E"/>
    <w:rsid w:val="00BF7579"/>
    <w:rsid w:val="00C30683"/>
    <w:rsid w:val="00C33F3A"/>
    <w:rsid w:val="00C6194E"/>
    <w:rsid w:val="00C74857"/>
    <w:rsid w:val="00CA0C14"/>
    <w:rsid w:val="00CA40F1"/>
    <w:rsid w:val="00CC46B0"/>
    <w:rsid w:val="00CD0871"/>
    <w:rsid w:val="00CE11A3"/>
    <w:rsid w:val="00CF65C8"/>
    <w:rsid w:val="00D46852"/>
    <w:rsid w:val="00D862C1"/>
    <w:rsid w:val="00D94CAC"/>
    <w:rsid w:val="00E62E6C"/>
    <w:rsid w:val="00E662B6"/>
    <w:rsid w:val="00F2435F"/>
    <w:rsid w:val="00F5656F"/>
    <w:rsid w:val="00F70C65"/>
    <w:rsid w:val="00F84F67"/>
    <w:rsid w:val="00FA0A5F"/>
    <w:rsid w:val="00FA1065"/>
    <w:rsid w:val="00F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49B4DED-57E8-4DF8-9333-2FFA6E7E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A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6D8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C619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95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52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5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52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2022-06-23T07:07:00Z</cp:lastPrinted>
  <dcterms:created xsi:type="dcterms:W3CDTF">2022-06-23T07:11:00Z</dcterms:created>
  <dcterms:modified xsi:type="dcterms:W3CDTF">2022-06-23T07:11:00Z</dcterms:modified>
</cp:coreProperties>
</file>